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C0E8" w14:textId="57193B71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3ADB798B" w14:textId="7742FDC7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830E47">
        <w:rPr>
          <w:rFonts w:ascii="Calibri" w:hAnsi="Calibri" w:cs="Calibri"/>
          <w:b/>
          <w:sz w:val="28"/>
          <w:szCs w:val="28"/>
        </w:rPr>
        <w:t>8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10D2AD9A" w14:textId="1B3912F6" w:rsidR="00211D24" w:rsidRPr="00C443BB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6"/>
          <w:szCs w:val="26"/>
        </w:rPr>
      </w:pPr>
      <w:r w:rsidRPr="00C443BB">
        <w:rPr>
          <w:rFonts w:ascii="Calibri" w:hAnsi="Calibri" w:cs="Calibri"/>
          <w:b/>
          <w:smallCaps/>
          <w:sz w:val="26"/>
          <w:szCs w:val="26"/>
        </w:rPr>
        <w:t>„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MAS </w:t>
      </w:r>
      <w:r w:rsidR="00870C82">
        <w:rPr>
          <w:rFonts w:ascii="Calibri" w:hAnsi="Calibri" w:cs="Calibri"/>
          <w:b/>
          <w:smallCaps/>
          <w:sz w:val="28"/>
          <w:szCs w:val="28"/>
        </w:rPr>
        <w:t>ŠUMPERSKÝ VENKOV, Z.S.</w:t>
      </w:r>
      <w:r w:rsidR="00870C82" w:rsidRPr="00EB18AC">
        <w:rPr>
          <w:rFonts w:ascii="Calibri" w:hAnsi="Calibri" w:cs="Calibri"/>
          <w:b/>
          <w:smallCaps/>
          <w:sz w:val="28"/>
          <w:szCs w:val="28"/>
        </w:rPr>
        <w:t xml:space="preserve"> – IROP – </w:t>
      </w:r>
      <w:r w:rsidR="00830E47">
        <w:rPr>
          <w:rFonts w:ascii="Calibri" w:hAnsi="Calibri" w:cs="Calibri"/>
          <w:b/>
          <w:smallCaps/>
          <w:sz w:val="28"/>
          <w:szCs w:val="28"/>
        </w:rPr>
        <w:t>HASIČI</w:t>
      </w:r>
      <w:r w:rsidR="00870C82">
        <w:rPr>
          <w:rFonts w:ascii="Calibri" w:hAnsi="Calibri" w:cs="Calibri"/>
          <w:b/>
          <w:smallCaps/>
          <w:sz w:val="28"/>
          <w:szCs w:val="28"/>
        </w:rPr>
        <w:t>“</w:t>
      </w:r>
      <w:r w:rsidRPr="00C443BB">
        <w:rPr>
          <w:rFonts w:ascii="Calibri" w:hAnsi="Calibri" w:cs="Calibri"/>
          <w:b/>
          <w:smallCaps/>
          <w:sz w:val="26"/>
          <w:szCs w:val="26"/>
        </w:rPr>
        <w:t>“</w:t>
      </w:r>
    </w:p>
    <w:p w14:paraId="7D5ABA31" w14:textId="5268DD3B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830E47">
        <w:rPr>
          <w:rFonts w:ascii="Calibri" w:hAnsi="Calibri" w:cs="Calibri"/>
          <w:b/>
          <w:smallCaps/>
          <w:sz w:val="28"/>
          <w:szCs w:val="28"/>
        </w:rPr>
        <w:t>61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</w:t>
      </w:r>
      <w:r w:rsidR="00A44D25">
        <w:rPr>
          <w:rFonts w:ascii="Calibri" w:hAnsi="Calibri" w:cs="Calibri"/>
          <w:b/>
          <w:smallCaps/>
          <w:sz w:val="28"/>
          <w:szCs w:val="28"/>
        </w:rPr>
        <w:t xml:space="preserve"> – </w:t>
      </w:r>
      <w:r w:rsidR="00830E47">
        <w:rPr>
          <w:rFonts w:ascii="Calibri" w:hAnsi="Calibri" w:cs="Calibri"/>
          <w:b/>
          <w:smallCaps/>
          <w:sz w:val="28"/>
          <w:szCs w:val="28"/>
        </w:rPr>
        <w:t>HASIČI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537DD87" w:rsidR="00211D24" w:rsidRDefault="00211D24" w:rsidP="00211D24">
      <w:pPr>
        <w:jc w:val="both"/>
      </w:pPr>
      <w:r>
        <w:t xml:space="preserve">V rámci MAS bude nejprve ze strany kanceláře MAS </w:t>
      </w:r>
      <w:r w:rsidR="00870C82">
        <w:t>Šumperský venkov</w:t>
      </w:r>
      <w:r>
        <w:t xml:space="preserve"> provedena administrativní kontrola. Věcné hodnocení záměrů provádí Výběrová komise MAS </w:t>
      </w:r>
      <w:r w:rsidR="00870C82">
        <w:t>šumperský venkov</w:t>
      </w:r>
      <w:r>
        <w:t xml:space="preserve"> jakožto výběrový orgán. Programový výbor MAS </w:t>
      </w:r>
      <w:r w:rsidR="00870C82">
        <w:t>šumperský venkov</w:t>
      </w:r>
      <w:r>
        <w:t xml:space="preserve"> jakožto </w:t>
      </w:r>
      <w:r w:rsidR="00302B62">
        <w:t>r</w:t>
      </w:r>
      <w:r>
        <w:t xml:space="preserve">ozhodovací orgán vybírá záměry, kterým bude vydáno Vyjádření o souladu se SCLLD MAS </w:t>
      </w:r>
      <w:r w:rsidR="00870C82">
        <w:t>Šumperský venkov</w:t>
      </w:r>
      <w:r>
        <w:t>. Toto vyjádření je povinnou součástí žádosti o podporu, kterou nositelé vybraných záměrů následně zpracují v MS21+.</w:t>
      </w:r>
    </w:p>
    <w:p w14:paraId="7A5EAD6D" w14:textId="03D49679" w:rsidR="00211D24" w:rsidRDefault="00211D24" w:rsidP="00211D24">
      <w:pPr>
        <w:jc w:val="both"/>
      </w:pPr>
      <w:r>
        <w:t>Postup hodnocení záměrů je uveden v</w:t>
      </w:r>
      <w:r w:rsidR="00870C82">
        <w:t> </w:t>
      </w:r>
      <w:r w:rsidR="003C4B9A">
        <w:t>I</w:t>
      </w:r>
      <w:r w:rsidR="00870C82">
        <w:t>nterních postupech</w:t>
      </w:r>
      <w:r>
        <w:t xml:space="preserve"> MAS </w:t>
      </w:r>
      <w:r w:rsidR="00870C82">
        <w:t>Šumperský venkov</w:t>
      </w:r>
      <w:r w:rsidR="003C4B9A">
        <w:t xml:space="preserve"> 2021+</w:t>
      </w:r>
      <w:r w:rsidR="00870C82">
        <w:t>, které jsou zveřejněny na:</w:t>
      </w:r>
      <w:r>
        <w:t xml:space="preserve"> </w:t>
      </w:r>
      <w:hyperlink r:id="rId10" w:history="1">
        <w:r w:rsidR="003C4B9A" w:rsidRPr="003C4B9A">
          <w:rPr>
            <w:rStyle w:val="Hypertextovodkaz"/>
          </w:rPr>
          <w:t>www.sumperskyvenkov.cz</w:t>
        </w:r>
      </w:hyperlink>
    </w:p>
    <w:p w14:paraId="7A0D1AD6" w14:textId="534A3777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830E47">
        <w:t>61</w:t>
      </w:r>
      <w:r>
        <w:t xml:space="preserve"> IROP, a to prostřednictvím MS21+. Hodnocení žádostí o podporu je v kompetenci Centra pro regionální rozvoj (CRR). </w:t>
      </w:r>
    </w:p>
    <w:p w14:paraId="7CD82269" w14:textId="6ADFA132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830E47">
        <w:t>61</w:t>
      </w:r>
      <w:r>
        <w:t xml:space="preserve"> IROP (vždy v aktuálním znění).</w:t>
      </w:r>
    </w:p>
    <w:p w14:paraId="2C5650A1" w14:textId="6D84E30B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830E47" w:rsidRPr="00570245">
          <w:rPr>
            <w:rStyle w:val="Hypertextovodkaz"/>
          </w:rPr>
          <w:t>https://irop.mmr.cz/cs/vyzvy-2021-2027/vyzvy/61vyzvairop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4355A2DD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(osob) jednajících jménem žadatele (nebo osob zmocněných na základě plné moci) a relevantní přílohy je nutné zaslat na e-mail: </w:t>
      </w:r>
      <w:r w:rsidR="000B331A">
        <w:rPr>
          <w:b/>
          <w:bCs/>
        </w:rPr>
        <w:t>projekty@sumperskyvenkov.cz</w:t>
      </w:r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672C0BF7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870C82">
              <w:rPr>
                <w:rFonts w:cs="Arial"/>
                <w:b/>
                <w:sz w:val="20"/>
                <w:szCs w:val="20"/>
              </w:rPr>
              <w:t>Šumperský venkov, z.s.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09E44AA" w14:textId="2B6FD0CC" w:rsidR="00830E47" w:rsidRPr="00830E47" w:rsidRDefault="00830E47" w:rsidP="00830E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HASIČI</w:t>
            </w:r>
          </w:p>
          <w:p w14:paraId="1CC9AE0B" w14:textId="7861B1E1" w:rsidR="006E6251" w:rsidRPr="00331076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2404E2C" w:rsidR="006E6251" w:rsidRPr="00331076" w:rsidRDefault="00830E47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61</w:t>
            </w:r>
            <w:r w:rsidR="00331076" w:rsidRPr="004D7A8D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Hasiči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7D0F4720" w:rsidR="006E6251" w:rsidRPr="00331076" w:rsidRDefault="00331076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830E47">
              <w:rPr>
                <w:rFonts w:cs="Arial"/>
                <w:bCs/>
                <w:sz w:val="20"/>
                <w:szCs w:val="20"/>
              </w:rPr>
              <w:t>8</w:t>
            </w:r>
            <w:r w:rsidRPr="00331076">
              <w:rPr>
                <w:rFonts w:cs="Arial"/>
                <w:bCs/>
                <w:sz w:val="20"/>
                <w:szCs w:val="20"/>
              </w:rPr>
              <w:t>: MAS</w:t>
            </w:r>
            <w:r w:rsidR="00870C82">
              <w:rPr>
                <w:rFonts w:cs="Arial"/>
                <w:bCs/>
                <w:sz w:val="20"/>
                <w:szCs w:val="20"/>
              </w:rPr>
              <w:t xml:space="preserve"> Šumperský venkov</w:t>
            </w:r>
            <w:r w:rsidRPr="00331076">
              <w:rPr>
                <w:rFonts w:cs="Arial"/>
                <w:bCs/>
                <w:sz w:val="20"/>
                <w:szCs w:val="20"/>
              </w:rPr>
              <w:t xml:space="preserve">– IROP – </w:t>
            </w:r>
            <w:r w:rsidR="00830E47">
              <w:rPr>
                <w:rFonts w:cs="Arial"/>
                <w:bCs/>
                <w:sz w:val="20"/>
                <w:szCs w:val="20"/>
              </w:rPr>
              <w:t>Hasiči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FE1F9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40FC588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 Aktivity musí být v souladu s</w:t>
            </w:r>
            <w:r w:rsidR="00A31653">
              <w:rPr>
                <w:color w:val="FF0000"/>
                <w:sz w:val="20"/>
                <w:szCs w:val="20"/>
              </w:rPr>
              <w:t xml:space="preserve"> </w:t>
            </w:r>
            <w:r w:rsidR="00830E47"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30E47">
              <w:rPr>
                <w:color w:val="FF0000"/>
                <w:sz w:val="20"/>
                <w:szCs w:val="20"/>
              </w:rPr>
              <w:t>Hasiči</w:t>
            </w:r>
            <w:r w:rsidRPr="00586900">
              <w:rPr>
                <w:color w:val="FF0000"/>
                <w:sz w:val="20"/>
                <w:szCs w:val="20"/>
              </w:rPr>
              <w:t xml:space="preserve">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5D7A9B" w:rsidRPr="00586900" w14:paraId="00C760F8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3CE26D" w14:textId="5DB1304B" w:rsidR="005D7A9B" w:rsidRPr="005D7A9B" w:rsidRDefault="005D7A9B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D7A9B">
              <w:rPr>
                <w:b/>
                <w:bCs/>
                <w:sz w:val="20"/>
                <w:szCs w:val="20"/>
              </w:rPr>
              <w:t>Počet</w:t>
            </w:r>
            <w:r>
              <w:rPr>
                <w:b/>
                <w:bCs/>
                <w:sz w:val="20"/>
                <w:szCs w:val="20"/>
              </w:rPr>
              <w:t xml:space="preserve"> obyvatel obce, kde je projekt realizován </w:t>
            </w:r>
            <w:r w:rsidRPr="00EC4BBC">
              <w:rPr>
                <w:b/>
                <w:bCs/>
                <w:sz w:val="20"/>
                <w:szCs w:val="20"/>
              </w:rPr>
              <w:t>(</w:t>
            </w:r>
            <w:r w:rsidRPr="008A5B85">
              <w:rPr>
                <w:b/>
                <w:bCs/>
                <w:sz w:val="20"/>
                <w:szCs w:val="20"/>
              </w:rPr>
              <w:t>k 1. 1. 202</w:t>
            </w:r>
            <w:r w:rsidR="00830E47">
              <w:rPr>
                <w:b/>
                <w:bCs/>
                <w:sz w:val="20"/>
                <w:szCs w:val="20"/>
              </w:rPr>
              <w:t>5</w:t>
            </w:r>
            <w:r w:rsidRPr="00EC4BBC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5D7A9B" w:rsidRPr="00586900" w14:paraId="5075A75A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8A42282" w14:textId="38AC872F" w:rsidR="005D7A9B" w:rsidRPr="005D7A9B" w:rsidRDefault="005D7A9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obyvatel.</w:t>
            </w:r>
          </w:p>
          <w:p w14:paraId="7BDFB6D3" w14:textId="1DB3DFF9" w:rsidR="005D7A9B" w:rsidRPr="00586900" w:rsidRDefault="005D7A9B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41C77A2A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</w:t>
            </w:r>
            <w:r w:rsidR="003C4B9A">
              <w:rPr>
                <w:color w:val="FF0000"/>
                <w:sz w:val="20"/>
                <w:szCs w:val="20"/>
              </w:rPr>
              <w:t>, případně uveďte, že není pro realizaci projektu není potřeba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lastRenderedPageBreak/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2689D256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22366A">
              <w:rPr>
                <w:color w:val="FF0000"/>
                <w:sz w:val="20"/>
                <w:szCs w:val="20"/>
              </w:rPr>
              <w:t>Šumperský venkov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</w:t>
            </w:r>
            <w:r w:rsidR="00830E47">
              <w:rPr>
                <w:color w:val="FF0000"/>
                <w:sz w:val="20"/>
                <w:szCs w:val="20"/>
              </w:rPr>
              <w:t>5</w:t>
            </w:r>
            <w:r w:rsidRPr="00586900">
              <w:rPr>
                <w:color w:val="FF0000"/>
                <w:sz w:val="20"/>
                <w:szCs w:val="20"/>
              </w:rPr>
              <w:t xml:space="preserve">0 </w:t>
            </w:r>
            <w:r w:rsidR="00830E47">
              <w:rPr>
                <w:color w:val="FF0000"/>
                <w:sz w:val="20"/>
                <w:szCs w:val="20"/>
              </w:rPr>
              <w:t>pracovních dní</w:t>
            </w:r>
          </w:p>
        </w:tc>
      </w:tr>
      <w:tr w:rsidR="00991E7D" w:rsidRPr="00586900" w14:paraId="3B0E3A63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3C5386CA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AF5425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AF5425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AF5425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FE1F94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FE1F9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FE1F9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39F40D03" w:rsidR="00647584" w:rsidRPr="00586900" w:rsidRDefault="00830E47" w:rsidP="00755FF3">
            <w:pPr>
              <w:rPr>
                <w:b/>
              </w:rPr>
            </w:pPr>
            <w:r>
              <w:rPr>
                <w:b/>
              </w:rPr>
              <w:t>Kategorie JPO: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0DE4F4F" w14:textId="72AC4580" w:rsidR="00647584" w:rsidRPr="006B09C9" w:rsidRDefault="00830E47" w:rsidP="00755FF3">
            <w:pPr>
              <w:rPr>
                <w:color w:val="FF0000"/>
                <w:sz w:val="20"/>
                <w:szCs w:val="20"/>
              </w:rPr>
            </w:pPr>
            <w:r w:rsidRPr="006B09C9">
              <w:rPr>
                <w:color w:val="FF0000"/>
                <w:sz w:val="20"/>
                <w:szCs w:val="20"/>
              </w:rPr>
              <w:t xml:space="preserve">Uveďte </w:t>
            </w:r>
            <w:r w:rsidR="000C0826">
              <w:rPr>
                <w:color w:val="FF0000"/>
                <w:sz w:val="20"/>
                <w:szCs w:val="20"/>
              </w:rPr>
              <w:t>o</w:t>
            </w:r>
            <w:r w:rsidRPr="006B09C9">
              <w:rPr>
                <w:color w:val="FF0000"/>
                <w:sz w:val="20"/>
                <w:szCs w:val="20"/>
              </w:rPr>
              <w:t xml:space="preserve"> jakou kategorii </w:t>
            </w:r>
            <w:r w:rsidR="006B09C9" w:rsidRPr="006B09C9">
              <w:rPr>
                <w:color w:val="FF0000"/>
                <w:sz w:val="20"/>
                <w:szCs w:val="20"/>
              </w:rPr>
              <w:t xml:space="preserve">jednotky sboru dobrovolných hasičů se jedná </w:t>
            </w:r>
          </w:p>
          <w:p w14:paraId="4B956C3B" w14:textId="77777777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3E65E7CE" w14:textId="77777777" w:rsidR="00647584" w:rsidRDefault="00647584" w:rsidP="00755FF3">
            <w:pPr>
              <w:rPr>
                <w:sz w:val="20"/>
                <w:szCs w:val="20"/>
              </w:rPr>
            </w:pPr>
          </w:p>
          <w:p w14:paraId="5D8F28B0" w14:textId="77777777" w:rsidR="00346CCC" w:rsidRDefault="00346CCC" w:rsidP="00755FF3">
            <w:pPr>
              <w:rPr>
                <w:sz w:val="20"/>
                <w:szCs w:val="20"/>
              </w:rPr>
            </w:pPr>
          </w:p>
          <w:p w14:paraId="4A1F11D5" w14:textId="77777777" w:rsidR="00346CCC" w:rsidRDefault="00346CCC" w:rsidP="00755FF3">
            <w:pPr>
              <w:rPr>
                <w:sz w:val="20"/>
                <w:szCs w:val="20"/>
              </w:rPr>
            </w:pPr>
          </w:p>
          <w:p w14:paraId="72F22435" w14:textId="77777777" w:rsidR="00346CCC" w:rsidRDefault="00346CCC" w:rsidP="00755FF3">
            <w:pPr>
              <w:rPr>
                <w:sz w:val="20"/>
                <w:szCs w:val="20"/>
              </w:rPr>
            </w:pPr>
          </w:p>
          <w:p w14:paraId="6D941249" w14:textId="77777777" w:rsidR="00346CCC" w:rsidRPr="00586900" w:rsidRDefault="00346CCC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  <w:tr w:rsidR="00FE1F94" w:rsidRPr="00586900" w14:paraId="0DD6B47B" w14:textId="77777777" w:rsidTr="00FE1F94">
        <w:tc>
          <w:tcPr>
            <w:tcW w:w="9042" w:type="dxa"/>
          </w:tcPr>
          <w:p w14:paraId="24E20496" w14:textId="0004D428" w:rsidR="00FE1F94" w:rsidRPr="00586900" w:rsidRDefault="006B09C9" w:rsidP="00151D43">
            <w:pPr>
              <w:rPr>
                <w:b/>
              </w:rPr>
            </w:pPr>
            <w:r>
              <w:rPr>
                <w:b/>
              </w:rPr>
              <w:t>Předmět realizace projektu</w:t>
            </w:r>
            <w:r w:rsidR="00FE1F94">
              <w:rPr>
                <w:b/>
              </w:rPr>
              <w:t xml:space="preserve"> :</w:t>
            </w:r>
          </w:p>
        </w:tc>
      </w:tr>
      <w:tr w:rsidR="00FE1F94" w:rsidRPr="00586900" w14:paraId="7F7534FB" w14:textId="77777777" w:rsidTr="00FE1F94">
        <w:tc>
          <w:tcPr>
            <w:tcW w:w="9042" w:type="dxa"/>
          </w:tcPr>
          <w:p w14:paraId="410DE2C2" w14:textId="63C0C86C" w:rsidR="00FE1F94" w:rsidRPr="006B09C9" w:rsidRDefault="006B09C9" w:rsidP="00151D43">
            <w:pPr>
              <w:rPr>
                <w:color w:val="FF0000"/>
                <w:sz w:val="20"/>
                <w:szCs w:val="20"/>
              </w:rPr>
            </w:pPr>
            <w:r w:rsidRPr="006B09C9">
              <w:rPr>
                <w:color w:val="FF0000"/>
                <w:sz w:val="20"/>
                <w:szCs w:val="20"/>
              </w:rPr>
              <w:t>Uveďte, zda je předmětem realizace nákup pojízdné nebo nepojízdné techniky.</w:t>
            </w:r>
          </w:p>
          <w:p w14:paraId="4CC0F289" w14:textId="77777777" w:rsidR="00FE1F94" w:rsidRPr="00586900" w:rsidRDefault="00FE1F94" w:rsidP="00151D43">
            <w:pPr>
              <w:rPr>
                <w:sz w:val="20"/>
                <w:szCs w:val="20"/>
              </w:rPr>
            </w:pPr>
          </w:p>
          <w:p w14:paraId="212550B5" w14:textId="77777777" w:rsidR="00FE1F94" w:rsidRDefault="00FE1F94" w:rsidP="00151D43">
            <w:pPr>
              <w:rPr>
                <w:sz w:val="20"/>
                <w:szCs w:val="20"/>
              </w:rPr>
            </w:pPr>
          </w:p>
          <w:p w14:paraId="2F95E88D" w14:textId="77777777" w:rsidR="00FE1F94" w:rsidRDefault="00FE1F94" w:rsidP="00151D43">
            <w:pPr>
              <w:rPr>
                <w:sz w:val="20"/>
                <w:szCs w:val="20"/>
              </w:rPr>
            </w:pPr>
          </w:p>
          <w:p w14:paraId="250736ED" w14:textId="77777777" w:rsidR="00FE1F94" w:rsidRDefault="00FE1F94" w:rsidP="00151D43">
            <w:pPr>
              <w:rPr>
                <w:sz w:val="20"/>
                <w:szCs w:val="20"/>
              </w:rPr>
            </w:pPr>
          </w:p>
          <w:p w14:paraId="20D2E370" w14:textId="77777777" w:rsidR="00FE1F94" w:rsidRDefault="00FE1F94" w:rsidP="00151D43">
            <w:pPr>
              <w:rPr>
                <w:sz w:val="20"/>
                <w:szCs w:val="20"/>
              </w:rPr>
            </w:pPr>
          </w:p>
          <w:p w14:paraId="556C0226" w14:textId="77777777" w:rsidR="00FE1F94" w:rsidRPr="00586900" w:rsidRDefault="00FE1F94" w:rsidP="00151D43">
            <w:pPr>
              <w:rPr>
                <w:sz w:val="20"/>
                <w:szCs w:val="20"/>
              </w:rPr>
            </w:pPr>
          </w:p>
          <w:p w14:paraId="2B9B4A11" w14:textId="77777777" w:rsidR="00FE1F94" w:rsidRPr="00586900" w:rsidRDefault="00FE1F94" w:rsidP="00151D4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73024D9" w14:textId="1FFFB97B" w:rsidR="00647584" w:rsidRDefault="00647584" w:rsidP="00991E7D">
      <w:pPr>
        <w:rPr>
          <w:b/>
        </w:rPr>
      </w:pPr>
    </w:p>
    <w:p w14:paraId="307B54FD" w14:textId="21590FCA" w:rsidR="00FE4BDD" w:rsidRDefault="00FE4BDD" w:rsidP="00991E7D">
      <w:pPr>
        <w:rPr>
          <w:b/>
        </w:rPr>
      </w:pPr>
    </w:p>
    <w:p w14:paraId="70BF73B9" w14:textId="77777777" w:rsidR="006B09C9" w:rsidRDefault="006B09C9" w:rsidP="00991E7D">
      <w:pPr>
        <w:rPr>
          <w:b/>
        </w:rPr>
      </w:pPr>
    </w:p>
    <w:p w14:paraId="7B1F3ACA" w14:textId="77777777" w:rsidR="006B09C9" w:rsidRDefault="006B09C9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3253"/>
        <w:gridCol w:w="1455"/>
        <w:gridCol w:w="1380"/>
        <w:gridCol w:w="1258"/>
      </w:tblGrid>
      <w:tr w:rsidR="00991E7D" w:rsidRPr="00D62762" w14:paraId="52964EF1" w14:textId="77777777" w:rsidTr="00BB6A80">
        <w:trPr>
          <w:trHeight w:val="885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58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6B09C9" w:rsidRPr="001C1F58" w14:paraId="76199121" w14:textId="77777777" w:rsidTr="00BB6A80">
        <w:trPr>
          <w:trHeight w:val="1247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6B5F678A" w14:textId="0B1B40F7" w:rsidR="006B09C9" w:rsidRPr="001C1F58" w:rsidRDefault="006B09C9" w:rsidP="006B09C9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575 401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4613F9DD" w14:textId="758BAB8F" w:rsidR="006B09C9" w:rsidRPr="00586900" w:rsidRDefault="006B09C9" w:rsidP="006B09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0765804F" w14:textId="0E49F482" w:rsidR="006B09C9" w:rsidRPr="00586900" w:rsidRDefault="006B09C9" w:rsidP="006B09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BF81530" w14:textId="189C43AE" w:rsidR="006B09C9" w:rsidRPr="00586900" w:rsidRDefault="006B09C9" w:rsidP="006B09C9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5751BF02" w14:textId="67839233" w:rsidR="006B09C9" w:rsidRPr="00586900" w:rsidRDefault="006B09C9" w:rsidP="006B09C9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6B09C9" w:rsidRPr="001C1F58" w14:paraId="0E3CEE61" w14:textId="77777777" w:rsidTr="00BB6A80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4DE1A449" w14:textId="43B5803A" w:rsidR="006B09C9" w:rsidRPr="001C1F58" w:rsidRDefault="006B09C9" w:rsidP="006B09C9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F750D">
              <w:rPr>
                <w:rFonts w:cs="Arial"/>
                <w:b/>
                <w:szCs w:val="20"/>
              </w:rPr>
              <w:t>437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9F750D">
              <w:rPr>
                <w:rFonts w:cs="Arial"/>
                <w:b/>
                <w:szCs w:val="20"/>
              </w:rPr>
              <w:t>501</w:t>
            </w: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646863C0" w14:textId="24BC9B3A" w:rsidR="006B09C9" w:rsidRPr="00586900" w:rsidRDefault="006B09C9" w:rsidP="006B09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F750D">
              <w:rPr>
                <w:rFonts w:cs="Arial"/>
                <w:bCs/>
                <w:sz w:val="20"/>
                <w:szCs w:val="20"/>
              </w:rPr>
              <w:t>Počet obyvatel, kteří mají prospěch</w:t>
            </w:r>
            <w:r>
              <w:rPr>
                <w:rFonts w:cs="Arial"/>
                <w:bCs/>
                <w:sz w:val="20"/>
                <w:szCs w:val="20"/>
              </w:rPr>
              <w:t xml:space="preserve">              </w:t>
            </w:r>
            <w:r w:rsidRPr="009F750D">
              <w:rPr>
                <w:rFonts w:cs="Arial"/>
                <w:bCs/>
                <w:sz w:val="20"/>
                <w:szCs w:val="20"/>
              </w:rPr>
              <w:t xml:space="preserve"> z opatření na posílení ochrany obyvatelstva před hrozbami spojenými se změnou klimatu a novými hrozbami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3C7B7C9" w14:textId="5E574496" w:rsidR="006B09C9" w:rsidRPr="00586900" w:rsidRDefault="006B09C9" w:rsidP="006B09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obyvatelé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E2573C" w14:textId="7119B6CF" w:rsidR="006B09C9" w:rsidRPr="00586900" w:rsidRDefault="006B09C9" w:rsidP="006B09C9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006DA8">
              <w:rPr>
                <w:rFonts w:cs="Arial"/>
                <w:bCs/>
                <w:i/>
                <w:sz w:val="20"/>
                <w:szCs w:val="20"/>
              </w:rPr>
              <w:t> </w:t>
            </w: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593981FF" w14:textId="10D12CEF" w:rsidR="006B09C9" w:rsidRPr="00586900" w:rsidRDefault="006B09C9" w:rsidP="006B09C9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006DA8">
              <w:rPr>
                <w:rFonts w:cs="Arial"/>
                <w:bCs/>
                <w:i/>
                <w:color w:val="FF0000"/>
                <w:sz w:val="20"/>
                <w:szCs w:val="20"/>
              </w:rPr>
              <w:t>doplňte</w:t>
            </w:r>
          </w:p>
        </w:tc>
      </w:tr>
      <w:tr w:rsidR="00A44D25" w:rsidRPr="001C1F58" w14:paraId="29973567" w14:textId="77777777" w:rsidTr="00BB6A80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DFA293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14:paraId="210CA7A8" w14:textId="25FAB1D6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7D88AF18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FB22E77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71AD8A1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A44D25" w:rsidRPr="001C1F58" w14:paraId="280F6C84" w14:textId="77777777" w:rsidTr="00BB6A80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0ADC914C" w14:textId="77777777" w:rsidR="00A44D25" w:rsidRPr="001C1F58" w:rsidRDefault="00A44D25" w:rsidP="00A44D25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</w:tcPr>
          <w:p w14:paraId="12D7F516" w14:textId="77777777" w:rsidR="00A44D25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16C54B84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9EEC5E5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</w:tcPr>
          <w:p w14:paraId="482AABD9" w14:textId="77777777" w:rsidR="00A44D25" w:rsidRPr="00586900" w:rsidRDefault="00A44D25" w:rsidP="00A44D2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4A9ED197" w:rsidR="00991E7D" w:rsidRPr="00586900" w:rsidRDefault="003C4B9A" w:rsidP="00755FF3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010E8D47" w:rsidR="00991E7D" w:rsidRDefault="00991E7D" w:rsidP="006E6251"/>
    <w:p w14:paraId="264E9969" w14:textId="306028F7" w:rsidR="00BB6A80" w:rsidRDefault="00BB6A80" w:rsidP="006E6251"/>
    <w:p w14:paraId="74104636" w14:textId="77777777" w:rsidR="00BB6A80" w:rsidRDefault="00BB6A80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BFD2" w14:textId="77777777" w:rsidR="004F06E6" w:rsidRDefault="004F06E6" w:rsidP="00DC4000">
      <w:pPr>
        <w:spacing w:after="0" w:line="240" w:lineRule="auto"/>
      </w:pPr>
      <w:r>
        <w:separator/>
      </w:r>
    </w:p>
  </w:endnote>
  <w:endnote w:type="continuationSeparator" w:id="0">
    <w:p w14:paraId="0927762E" w14:textId="77777777" w:rsidR="004F06E6" w:rsidRDefault="004F06E6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CE288" w14:textId="77777777" w:rsidR="004F06E6" w:rsidRDefault="004F06E6" w:rsidP="00DC4000">
      <w:pPr>
        <w:spacing w:after="0" w:line="240" w:lineRule="auto"/>
      </w:pPr>
      <w:r>
        <w:separator/>
      </w:r>
    </w:p>
  </w:footnote>
  <w:footnote w:type="continuationSeparator" w:id="0">
    <w:p w14:paraId="6628B6B2" w14:textId="77777777" w:rsidR="004F06E6" w:rsidRDefault="004F06E6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02015240" w:rsidR="00DC4000" w:rsidRDefault="00870C8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E9B7CC" wp14:editId="0D742029">
          <wp:simplePos x="0" y="0"/>
          <wp:positionH relativeFrom="column">
            <wp:posOffset>5177155</wp:posOffset>
          </wp:positionH>
          <wp:positionV relativeFrom="paragraph">
            <wp:posOffset>-287655</wp:posOffset>
          </wp:positionV>
          <wp:extent cx="520700" cy="643890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1D24">
      <w:rPr>
        <w:noProof/>
      </w:rPr>
      <w:drawing>
        <wp:anchor distT="0" distB="0" distL="114300" distR="114300" simplePos="0" relativeHeight="251659264" behindDoc="1" locked="0" layoutInCell="1" allowOverlap="1" wp14:anchorId="5A5EE4B5" wp14:editId="2D63D21A">
          <wp:simplePos x="0" y="0"/>
          <wp:positionH relativeFrom="margin">
            <wp:align>left</wp:align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73FE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B331A"/>
    <w:rsid w:val="000C0826"/>
    <w:rsid w:val="00106565"/>
    <w:rsid w:val="001115D4"/>
    <w:rsid w:val="00117535"/>
    <w:rsid w:val="00135137"/>
    <w:rsid w:val="001704A1"/>
    <w:rsid w:val="00174A6F"/>
    <w:rsid w:val="00211D24"/>
    <w:rsid w:val="0022366A"/>
    <w:rsid w:val="0023690F"/>
    <w:rsid w:val="00260C35"/>
    <w:rsid w:val="002749EF"/>
    <w:rsid w:val="002B6755"/>
    <w:rsid w:val="002E7863"/>
    <w:rsid w:val="00302B62"/>
    <w:rsid w:val="00331076"/>
    <w:rsid w:val="00346CCC"/>
    <w:rsid w:val="00351DDA"/>
    <w:rsid w:val="003B23DB"/>
    <w:rsid w:val="003C4B9A"/>
    <w:rsid w:val="003E4E8C"/>
    <w:rsid w:val="00420DDB"/>
    <w:rsid w:val="00446298"/>
    <w:rsid w:val="00455349"/>
    <w:rsid w:val="004A70A7"/>
    <w:rsid w:val="004B5284"/>
    <w:rsid w:val="004D7A8D"/>
    <w:rsid w:val="004E36F2"/>
    <w:rsid w:val="004E4B1D"/>
    <w:rsid w:val="004F06E6"/>
    <w:rsid w:val="00514279"/>
    <w:rsid w:val="00566AB1"/>
    <w:rsid w:val="00583387"/>
    <w:rsid w:val="00586900"/>
    <w:rsid w:val="005D7A9B"/>
    <w:rsid w:val="00647584"/>
    <w:rsid w:val="0068559F"/>
    <w:rsid w:val="006B09C9"/>
    <w:rsid w:val="006B3335"/>
    <w:rsid w:val="006C580A"/>
    <w:rsid w:val="006E6251"/>
    <w:rsid w:val="00726F7F"/>
    <w:rsid w:val="0074625F"/>
    <w:rsid w:val="00756F8E"/>
    <w:rsid w:val="007D1E1A"/>
    <w:rsid w:val="00806654"/>
    <w:rsid w:val="008300CA"/>
    <w:rsid w:val="00830E47"/>
    <w:rsid w:val="008365ED"/>
    <w:rsid w:val="0085511B"/>
    <w:rsid w:val="00870C82"/>
    <w:rsid w:val="008A0F5B"/>
    <w:rsid w:val="008A5B85"/>
    <w:rsid w:val="008C6FB6"/>
    <w:rsid w:val="008D2D37"/>
    <w:rsid w:val="00914519"/>
    <w:rsid w:val="00916D5B"/>
    <w:rsid w:val="00973FCE"/>
    <w:rsid w:val="00991E7D"/>
    <w:rsid w:val="009D6026"/>
    <w:rsid w:val="00A31653"/>
    <w:rsid w:val="00A44D25"/>
    <w:rsid w:val="00A47623"/>
    <w:rsid w:val="00A67891"/>
    <w:rsid w:val="00AC004D"/>
    <w:rsid w:val="00AD74BE"/>
    <w:rsid w:val="00AF5425"/>
    <w:rsid w:val="00B2672F"/>
    <w:rsid w:val="00BA3A50"/>
    <w:rsid w:val="00BA5D28"/>
    <w:rsid w:val="00BB6A80"/>
    <w:rsid w:val="00C02F42"/>
    <w:rsid w:val="00C06634"/>
    <w:rsid w:val="00C13769"/>
    <w:rsid w:val="00C443BB"/>
    <w:rsid w:val="00C566ED"/>
    <w:rsid w:val="00C973FA"/>
    <w:rsid w:val="00C97923"/>
    <w:rsid w:val="00D45BB5"/>
    <w:rsid w:val="00D62762"/>
    <w:rsid w:val="00D65CEA"/>
    <w:rsid w:val="00DC4000"/>
    <w:rsid w:val="00DE4122"/>
    <w:rsid w:val="00E15FFF"/>
    <w:rsid w:val="00E4086E"/>
    <w:rsid w:val="00E95273"/>
    <w:rsid w:val="00E959D9"/>
    <w:rsid w:val="00EC4BBC"/>
    <w:rsid w:val="00EF18AB"/>
    <w:rsid w:val="00F379D1"/>
    <w:rsid w:val="00F825A2"/>
    <w:rsid w:val="00F90BAD"/>
    <w:rsid w:val="00FE1F9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0E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1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\\192.168.2.50\Obdob&#237;%202021-2027\Ada%20-%20IROP\IROP\V&#253;zvy\Pam&#225;tky\www.sumperskyvenkov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adis.novakova@seznam.cz</cp:lastModifiedBy>
  <cp:revision>8</cp:revision>
  <cp:lastPrinted>2023-08-29T08:56:00Z</cp:lastPrinted>
  <dcterms:created xsi:type="dcterms:W3CDTF">2023-09-11T15:13:00Z</dcterms:created>
  <dcterms:modified xsi:type="dcterms:W3CDTF">2025-04-09T07:11:00Z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